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Арендодатель</w:t>
      </w:r>
      <w:r>
        <w:rPr>
          <w:sz w:val="24"/>
        </w:rPr>
        <w:t xml:space="preserve"> обязуется предоставить  во временное  владение  и пользование, а   Аренда</w:t>
      </w:r>
      <w:r>
        <w:rPr>
          <w:sz w:val="24"/>
        </w:rPr>
        <w:t>т</w:t>
      </w:r>
      <w:r>
        <w:rPr>
          <w:sz w:val="24"/>
        </w:rPr>
        <w:t xml:space="preserve">ор  </w:t>
      </w:r>
      <w:r>
        <w:rPr>
          <w:sz w:val="24"/>
        </w:rPr>
        <w:t>п</w:t>
      </w:r>
      <w:r>
        <w:rPr>
          <w:sz w:val="24"/>
        </w:rPr>
        <w:t>р</w:t>
      </w:r>
      <w:r>
        <w:rPr>
          <w:sz w:val="24"/>
        </w:rPr>
        <w:t>ин</w:t>
      </w:r>
      <w:r>
        <w:rPr>
          <w:sz w:val="24"/>
        </w:rPr>
        <w:t xml:space="preserve">ять  </w:t>
      </w:r>
      <w:r>
        <w:rPr>
          <w:sz w:val="24"/>
        </w:rPr>
        <w:t>на  условиях  настоящего  Договора земельный участок из земель населенны</w:t>
      </w:r>
      <w:r>
        <w:rPr>
          <w:sz w:val="24"/>
        </w:rPr>
        <w:t>х пунктов, с ка</w:t>
      </w:r>
      <w:r>
        <w:rPr>
          <w:sz w:val="24"/>
        </w:rPr>
        <w:t xml:space="preserve">дастровым </w:t>
      </w:r>
      <w:r>
        <w:rPr>
          <w:sz w:val="24"/>
        </w:rPr>
        <w:t>номером</w:t>
      </w:r>
      <w:r>
        <w:rPr>
          <w:rFonts w:ascii="Times New Roman" w:hAnsi="Times New Roman"/>
          <w:sz w:val="24"/>
        </w:rPr>
        <w:t xml:space="preserve"> </w:t>
      </w:r>
      <w:r>
        <w:rPr>
          <w:rFonts w:ascii="Times New Roman" w:hAnsi="Times New Roman"/>
          <w:sz w:val="24"/>
        </w:rPr>
        <w:t>23:39:1001004:1052</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 xml:space="preserve"> 500</w:t>
      </w:r>
      <w:r>
        <w:rPr>
          <w:rFonts w:ascii="Times New Roman" w:hAnsi="Times New Roman"/>
          <w:sz w:val="24"/>
        </w:rPr>
        <w:t xml:space="preserve"> </w:t>
      </w:r>
      <w:r>
        <w:rPr>
          <w:sz w:val="24"/>
        </w:rPr>
        <w:t>кв.м</w:t>
      </w:r>
      <w:r>
        <w:rPr>
          <w:sz w:val="24"/>
        </w:rPr>
        <w:t>., расположен</w:t>
      </w:r>
      <w:r>
        <w:rPr>
          <w:sz w:val="24"/>
        </w:rPr>
        <w:t xml:space="preserve">ный по адресу: </w:t>
      </w:r>
      <w:r>
        <w:rPr>
          <w:rFonts w:ascii="Times New Roman" w:hAnsi="Times New Roman"/>
          <w:sz w:val="24"/>
        </w:rPr>
        <w:t xml:space="preserve">Российская Федерация, Краснодарский край, Белореченский муниципальный район, </w:t>
      </w:r>
      <w:r>
        <w:rPr>
          <w:rFonts w:ascii="Times New Roman" w:hAnsi="Times New Roman"/>
          <w:sz w:val="24"/>
        </w:rPr>
        <w:t>Южненское</w:t>
      </w:r>
      <w:r>
        <w:rPr>
          <w:rFonts w:ascii="Times New Roman" w:hAnsi="Times New Roman"/>
          <w:sz w:val="24"/>
        </w:rPr>
        <w:t xml:space="preserve"> с/п., п. Заречный, ул. Полевая</w:t>
      </w:r>
      <w:r>
        <w:rPr>
          <w:rFonts w:ascii="Times New Roman" w:hAnsi="Times New Roman"/>
          <w:sz w:val="24"/>
        </w:rPr>
        <w:t xml:space="preserve"> </w:t>
      </w:r>
      <w:r>
        <w:rPr>
          <w:sz w:val="24"/>
        </w:rPr>
        <w:t>(далее - Участок), вид разрешенного использования:</w:t>
      </w:r>
      <w:r>
        <w:rPr>
          <w:rFonts w:ascii="Times New Roman" w:hAnsi="Times New Roman"/>
          <w:sz w:val="24"/>
        </w:rPr>
        <w:t>для индивидуального жилищного строительства.</w:t>
      </w:r>
      <w:r>
        <w:rPr>
          <w:rFonts w:ascii="Times New Roman" w:hAnsi="Times New Roman"/>
          <w:sz w:val="24"/>
        </w:rPr>
        <w:t>.</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w:t>
      </w:r>
      <w:r>
        <w:rPr>
          <w:sz w:val="24"/>
        </w:rPr>
        <w:t xml:space="preserve"> </w:t>
      </w:r>
      <w:r>
        <w:rPr>
          <w:sz w:val="24"/>
        </w:rPr>
        <w:t>64545,00</w:t>
      </w:r>
      <w:r>
        <w:rPr>
          <w:sz w:val="24"/>
        </w:rPr>
        <w:t xml:space="preserve"> руб. (</w:t>
      </w:r>
      <w:r>
        <w:rPr>
          <w:sz w:val="24"/>
        </w:rPr>
        <w:t>шестьдесят четыре тысячи пятьсот сорок пять рублей 00 копеек</w:t>
      </w:r>
      <w:r>
        <w:rPr>
          <w:sz w:val="24"/>
        </w:rPr>
        <w:t>)</w:t>
      </w:r>
      <w:r>
        <w:rPr>
          <w:sz w:val="24"/>
        </w:rPr>
        <w:t xml:space="preserve">, </w:t>
      </w:r>
      <w:r>
        <w:rPr>
          <w:sz w:val="24"/>
        </w:rPr>
        <w:t>перечисленная Арендатором для участия в торгах по продаже права на заключение</w:t>
      </w:r>
      <w:r>
        <w:rPr>
          <w:sz w:val="24"/>
        </w:rPr>
        <w:t xml:space="preserve"> договора аренды зе</w:t>
      </w:r>
      <w:r>
        <w:rPr>
          <w:sz w:val="24"/>
        </w:rPr>
        <w:t>мельного учас</w:t>
      </w:r>
      <w:r>
        <w:rPr>
          <w:sz w:val="24"/>
        </w:rPr>
        <w:t xml:space="preserve">тка, засчитывается в счет арендной платы по договору </w:t>
      </w:r>
      <w:r>
        <w:rPr>
          <w:sz w:val="24"/>
        </w:rPr>
        <w:t>за первый</w:t>
      </w:r>
      <w:r>
        <w:rPr>
          <w:sz w:val="24"/>
        </w:rPr>
        <w:t xml:space="preserve"> год </w:t>
      </w:r>
      <w:r>
        <w:rPr>
          <w:sz w:val="24"/>
        </w:rPr>
        <w:t>исп</w:t>
      </w:r>
      <w:r>
        <w:rPr>
          <w:sz w:val="24"/>
        </w:rPr>
        <w:t>о</w:t>
      </w:r>
      <w:r>
        <w:rPr>
          <w:sz w:val="24"/>
        </w:rPr>
        <w:t>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rPr>
          <w:sz w:val="24"/>
        </w:rPr>
      </w:pPr>
      <w:r>
        <w:rPr>
          <w:sz w:val="24"/>
        </w:rPr>
        <w:t>2.2. Годовой размер арендной платы устанавливается по результатам торгов и составляет _________ (____________________________________) ру</w:t>
      </w:r>
      <w:r>
        <w:rPr>
          <w:sz w:val="24"/>
        </w:rPr>
        <w:t xml:space="preserve">б. ___ коп. </w:t>
      </w:r>
    </w:p>
    <w:p w14:paraId="11000000">
      <w:pPr>
        <w:ind/>
        <w:jc w:val="both"/>
      </w:pPr>
      <w:r>
        <w:rPr>
          <w:sz w:val="24"/>
        </w:rPr>
        <w:t>По истечении 12 месяцев со дня подписания настоящего Договора, арендная плата, подлежащая уплате, рассчитывается  из годового</w:t>
      </w:r>
      <w:r>
        <w:t xml:space="preserve">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t>20</w:t>
      </w:r>
      <w:r>
        <w:rP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Федерации.</w:t>
      </w:r>
    </w:p>
    <w:p w14:paraId="49000000">
      <w:pPr>
        <w:ind/>
        <w:jc w:val="both"/>
      </w:pPr>
      <w:r>
        <w:rPr>
          <w:sz w:val="24"/>
        </w:rPr>
        <w:t xml:space="preserve">4.1.23. </w:t>
      </w:r>
      <w:r>
        <w:rPr>
          <w:sz w:val="24"/>
        </w:rPr>
        <w:t>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Pr>
          <w:sz w:val="24"/>
        </w:rPr>
        <w:t>.</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rFonts w:ascii="Times New Roman" w:hAnsi="Times New Roman"/>
          <w:sz w:val="28"/>
        </w:rPr>
      </w:pPr>
      <w:r>
        <w:rPr>
          <w:sz w:val="24"/>
        </w:rPr>
        <w:t>9.1</w:t>
      </w:r>
      <w:r>
        <w:rPr>
          <w:sz w:val="24"/>
        </w:rPr>
        <w:t xml:space="preserve">.Участок </w:t>
      </w:r>
      <w:r>
        <w:rPr>
          <w:sz w:val="24"/>
        </w:rPr>
        <w:t>п</w:t>
      </w:r>
      <w:r>
        <w:rPr>
          <w:sz w:val="24"/>
        </w:rPr>
        <w:t>опадает</w:t>
      </w:r>
      <w:r>
        <w:rPr>
          <w:sz w:val="24"/>
        </w:rPr>
        <w:t xml:space="preserve"> в охранную зону воздушной линии электропередач ВЛ-10 </w:t>
      </w:r>
      <w:r>
        <w:rPr>
          <w:sz w:val="24"/>
        </w:rPr>
        <w:t>кВ</w:t>
      </w:r>
      <w:r>
        <w:rPr>
          <w:sz w:val="24"/>
        </w:rPr>
        <w:t xml:space="preserve"> Пш-7 от ПС-35/10 </w:t>
      </w:r>
      <w:r>
        <w:rPr>
          <w:sz w:val="24"/>
        </w:rPr>
        <w:t>кВ</w:t>
      </w:r>
      <w:r>
        <w:rPr>
          <w:sz w:val="24"/>
          <w:highlight w:val="white"/>
        </w:rPr>
        <w:t>«Пшехская</w:t>
      </w:r>
      <w:r>
        <w:rPr>
          <w:sz w:val="24"/>
          <w:highlight w:val="white"/>
        </w:rPr>
        <w:t xml:space="preserve">», с входящими ВЛ и ТП ( ЗОУИТ 23:39-6.137), в публичный сервитут  (ЗОУИТ 23:39-6.1451), в </w:t>
      </w:r>
      <w:r>
        <w:rPr>
          <w:sz w:val="24"/>
          <w:highlight w:val="white"/>
        </w:rPr>
        <w:t>водоохранную</w:t>
      </w:r>
      <w:r>
        <w:rPr>
          <w:sz w:val="24"/>
          <w:highlight w:val="white"/>
        </w:rPr>
        <w:t xml:space="preserve"> зону балки без названия у х. </w:t>
      </w:r>
      <w:r>
        <w:rPr>
          <w:sz w:val="24"/>
          <w:highlight w:val="white"/>
        </w:rPr>
        <w:t>Горбаконевский</w:t>
      </w:r>
      <w:r>
        <w:rPr>
          <w:sz w:val="24"/>
          <w:highlight w:val="white"/>
        </w:rPr>
        <w:t xml:space="preserve"> (р. </w:t>
      </w:r>
      <w:r>
        <w:rPr>
          <w:sz w:val="24"/>
          <w:highlight w:val="white"/>
        </w:rPr>
        <w:t>Чибрик</w:t>
      </w:r>
      <w:r>
        <w:rPr>
          <w:sz w:val="24"/>
          <w:highlight w:val="white"/>
        </w:rPr>
        <w:t xml:space="preserve">) (ЗОУИТ 23:39-6.1306). </w:t>
      </w:r>
      <w:r>
        <w:rPr>
          <w:sz w:val="24"/>
          <w:highlight w:val="white"/>
        </w:rPr>
        <w:t xml:space="preserve">В соответствии с </w:t>
      </w:r>
      <w:r>
        <w:rPr>
          <w:sz w:val="24"/>
        </w:rPr>
        <w:t>Правилами устройства электроустановок и Правилами установления охранных зон, утвержденных постановлением Правительства Российской Федерации от 24 февраля 2009 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color w:val="FF0000"/>
          <w:sz w:val="24"/>
        </w:rPr>
        <w:t xml:space="preserve"> </w:t>
      </w:r>
      <w:r>
        <w:rPr>
          <w:sz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w:t>
      </w:r>
      <w:r>
        <w:rPr>
          <w:sz w:val="24"/>
        </w:rPr>
        <w:t xml:space="preserve">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набрасывать на провода и опоры воздушных линий электропередачи посторонние предметы, а </w:t>
      </w:r>
      <w:r>
        <w:rPr>
          <w:sz w:val="24"/>
        </w:rPr>
        <w:t xml:space="preserve">также подниматься на опоры воздушных линий электропередачи, размещать любые объекты и предметы (материалы) в </w:t>
      </w:r>
      <w:r>
        <w:rPr>
          <w:sz w:val="24"/>
        </w:rPr>
        <w:t>пределах</w:t>
      </w:r>
      <w:r>
        <w:rPr>
          <w:sz w:val="24"/>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w:t>
      </w:r>
      <w:r>
        <w:rPr>
          <w:sz w:val="24"/>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w:t>
      </w:r>
      <w:r>
        <w:rPr>
          <w:sz w:val="24"/>
        </w:rPr>
        <w:t xml:space="preserve"> электропередачи, размещать свалки,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r>
        <w:rPr>
          <w:color w:val="FF0000"/>
          <w:sz w:val="24"/>
        </w:rPr>
        <w:t xml:space="preserve"> </w:t>
      </w:r>
      <w:r>
        <w:rPr>
          <w:sz w:val="24"/>
        </w:rPr>
        <w:t xml:space="preserve">В соответствии со статьей 65 Водного кодекса Российской Федерации от 03.06.2006 N 74-ФЗ, в границах </w:t>
      </w:r>
      <w:r>
        <w:rPr>
          <w:sz w:val="24"/>
        </w:rPr>
        <w:t>водоохранной</w:t>
      </w:r>
      <w:r>
        <w:rPr>
          <w:sz w:val="24"/>
        </w:rPr>
        <w:t xml:space="preserve"> зоны запрещается: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отходов;3) осуществление авиационных мер по борьбе с вредными организмами;</w:t>
      </w:r>
      <w:r>
        <w:rPr>
          <w:sz w:val="24"/>
        </w:rPr>
        <w:t xml:space="preserve">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r>
        <w:rPr>
          <w:sz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w:t>
      </w:r>
      <w:r>
        <w:rPr>
          <w:sz w:val="24"/>
        </w:rPr>
        <w:t>судострои</w:t>
      </w:r>
      <w:r>
        <w:rPr>
          <w:sz w:val="24"/>
        </w:rPr>
        <w:t>-тельных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r>
        <w:rPr>
          <w:sz w:val="24"/>
        </w:rPr>
        <w:t xml:space="preserve">6) размещение специализированных хранилищ пестицидов и </w:t>
      </w:r>
      <w:r>
        <w:rPr>
          <w:sz w:val="24"/>
        </w:rPr>
        <w:t>агрохимикатов</w:t>
      </w:r>
      <w:r>
        <w:rPr>
          <w:sz w:val="24"/>
        </w:rPr>
        <w:t>, применение пестицидов и агрохимикатов;7) сброс сточных, в том числе дренажных, вод;</w:t>
      </w:r>
      <w:r>
        <w:rPr>
          <w:sz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r>
        <w:rPr>
          <w:sz w:val="24"/>
        </w:rPr>
        <w:t xml:space="preserve"> 21 февраля 1992 года № 2395-1 «О недрах»)</w:t>
      </w:r>
      <w:r>
        <w:rPr>
          <w:sz w:val="24"/>
        </w:rPr>
        <w:t>.</w:t>
      </w:r>
      <w:r>
        <w:rPr>
          <w:sz w:val="24"/>
        </w:rPr>
        <w:t xml:space="preserve">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74000000">
      <w:pPr>
        <w:ind/>
        <w:jc w:val="both"/>
        <w:rPr>
          <w:rFonts w:ascii="Times New Roman" w:hAnsi="Times New Roman"/>
          <w:sz w:val="28"/>
        </w:rPr>
      </w:pPr>
      <w:r>
        <w:rPr>
          <w:sz w:val="24"/>
        </w:rP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rPr>
          <w:sz w:val="24"/>
        </w:rPr>
        <w:t>9.</w:t>
      </w:r>
      <w:r>
        <w:rPr>
          <w:sz w:val="24"/>
        </w:rPr>
        <w:t>3</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Таблицы (моноширинный)"/>
    <w:basedOn w:val="Style_1"/>
    <w:next w:val="Style_1"/>
    <w:link w:val="Style_5_ch"/>
    <w:pPr>
      <w:widowControl w:val="0"/>
      <w:ind/>
      <w:jc w:val="both"/>
    </w:pPr>
    <w:rPr>
      <w:rFonts w:ascii="Courier New" w:hAnsi="Courier New"/>
      <w:sz w:val="20"/>
    </w:rPr>
  </w:style>
  <w:style w:styleId="Style_5_ch" w:type="character">
    <w:name w:val="Таблицы (моноширинный)"/>
    <w:basedOn w:val="Style_1_ch"/>
    <w:link w:val="Style_5"/>
    <w:rPr>
      <w:rFonts w:ascii="Courier New" w:hAnsi="Courier New"/>
      <w:sz w:val="20"/>
    </w:rPr>
  </w:style>
  <w:style w:styleId="Style_6" w:type="paragraph">
    <w:name w:val="toc 7"/>
    <w:next w:val="Style_1"/>
    <w:link w:val="Style_6_ch"/>
    <w:uiPriority w:val="39"/>
    <w:pPr>
      <w:ind w:firstLine="0" w:left="1200"/>
      <w:jc w:val="left"/>
    </w:pPr>
    <w:rPr>
      <w:rFonts w:ascii="XO Thames" w:hAnsi="XO Thames"/>
      <w:sz w:val="28"/>
    </w:rPr>
  </w:style>
  <w:style w:styleId="Style_6_ch" w:type="character">
    <w:name w:val="toc 7"/>
    <w:link w:val="Style_6"/>
    <w:rPr>
      <w:rFonts w:ascii="XO Thames" w:hAnsi="XO Thames"/>
      <w:sz w:val="28"/>
    </w:rPr>
  </w:style>
  <w:style w:styleId="Style_7" w:type="paragraph">
    <w:name w:val="Body Text 3"/>
    <w:basedOn w:val="Style_1"/>
    <w:link w:val="Style_7_ch"/>
    <w:pPr>
      <w:spacing w:after="120"/>
      <w:ind/>
    </w:pPr>
    <w:rPr>
      <w:sz w:val="16"/>
    </w:rPr>
  </w:style>
  <w:style w:styleId="Style_7_ch" w:type="character">
    <w:name w:val="Body Text 3"/>
    <w:basedOn w:val="Style_1_ch"/>
    <w:link w:val="Style_7"/>
    <w:rPr>
      <w:sz w:val="16"/>
    </w:rPr>
  </w:style>
  <w:style w:styleId="Style_8" w:type="paragraph">
    <w:name w:val="heading 3"/>
    <w:basedOn w:val="Style_1"/>
    <w:next w:val="Style_1"/>
    <w:link w:val="Style_8_ch"/>
    <w:uiPriority w:val="9"/>
    <w:qFormat/>
    <w:pPr>
      <w:keepNext w:val="1"/>
      <w:keepLines w:val="1"/>
      <w:spacing w:after="80" w:before="280"/>
      <w:ind/>
      <w:outlineLvl w:val="2"/>
    </w:pPr>
    <w:rPr>
      <w:b w:val="1"/>
      <w:sz w:val="28"/>
    </w:rPr>
  </w:style>
  <w:style w:styleId="Style_8_ch" w:type="character">
    <w:name w:val="heading 3"/>
    <w:basedOn w:val="Style_1_ch"/>
    <w:link w:val="Style_8"/>
    <w:rPr>
      <w:b w:val="1"/>
      <w:sz w:val="28"/>
    </w:rPr>
  </w:style>
  <w:style w:styleId="Style_9" w:type="paragraph">
    <w:name w:val="Цветовое выделение"/>
    <w:link w:val="Style_9_ch"/>
    <w:rPr>
      <w:b w:val="1"/>
      <w:color w:val="000080"/>
      <w:sz w:val="20"/>
    </w:rPr>
  </w:style>
  <w:style w:styleId="Style_9_ch" w:type="character">
    <w:name w:val="Цветовое выделение"/>
    <w:link w:val="Style_9"/>
    <w:rPr>
      <w:b w:val="1"/>
      <w:color w:val="000080"/>
      <w:sz w:val="20"/>
    </w:rPr>
  </w:style>
  <w:style w:styleId="Style_10" w:type="paragraph">
    <w:name w:val="toc 3"/>
    <w:next w:val="Style_1"/>
    <w:link w:val="Style_10_ch"/>
    <w:uiPriority w:val="39"/>
    <w:pPr>
      <w:ind w:firstLine="0" w:left="400"/>
      <w:jc w:val="left"/>
    </w:pPr>
    <w:rPr>
      <w:rFonts w:ascii="XO Thames" w:hAnsi="XO Thames"/>
      <w:sz w:val="28"/>
    </w:rPr>
  </w:style>
  <w:style w:styleId="Style_10_ch" w:type="character">
    <w:name w:val="toc 3"/>
    <w:link w:val="Style_10"/>
    <w:rPr>
      <w:rFonts w:ascii="XO Thames" w:hAnsi="XO Thames"/>
      <w:sz w:val="28"/>
    </w:rPr>
  </w:style>
  <w:style w:styleId="Style_11" w:type="paragraph">
    <w:name w:val="List Paragraph"/>
    <w:basedOn w:val="Style_1"/>
    <w:link w:val="Style_11_ch"/>
    <w:pPr>
      <w:ind w:firstLine="0" w:left="720"/>
      <w:contextualSpacing w:val="1"/>
    </w:pPr>
  </w:style>
  <w:style w:styleId="Style_11_ch" w:type="character">
    <w:name w:val="List Paragraph"/>
    <w:basedOn w:val="Style_1_ch"/>
    <w:link w:val="Style_11"/>
  </w:style>
  <w:style w:styleId="Style_12" w:type="paragraph">
    <w:name w:val="heading 5"/>
    <w:basedOn w:val="Style_1"/>
    <w:next w:val="Style_1"/>
    <w:link w:val="Style_12_ch"/>
    <w:uiPriority w:val="9"/>
    <w:qFormat/>
    <w:pPr>
      <w:keepNext w:val="1"/>
      <w:keepLines w:val="1"/>
      <w:spacing w:after="40" w:before="220"/>
      <w:ind/>
      <w:outlineLvl w:val="4"/>
    </w:pPr>
    <w:rPr>
      <w:b w:val="1"/>
      <w:sz w:val="22"/>
    </w:rPr>
  </w:style>
  <w:style w:styleId="Style_12_ch" w:type="character">
    <w:name w:val="heading 5"/>
    <w:basedOn w:val="Style_1_ch"/>
    <w:link w:val="Style_12"/>
    <w:rPr>
      <w:b w:val="1"/>
      <w:sz w:val="22"/>
    </w:rPr>
  </w:style>
  <w:style w:styleId="Style_13" w:type="paragraph">
    <w:name w:val="heading 1"/>
    <w:basedOn w:val="Style_1"/>
    <w:next w:val="Style_1"/>
    <w:link w:val="Style_13_ch"/>
    <w:uiPriority w:val="9"/>
    <w:qFormat/>
    <w:pPr>
      <w:keepNext w:val="1"/>
      <w:widowControl w:val="0"/>
      <w:spacing w:line="400" w:lineRule="exact"/>
      <w:ind w:firstLine="0" w:left="3700" w:right="3600"/>
      <w:jc w:val="both"/>
      <w:outlineLvl w:val="0"/>
    </w:pPr>
    <w:rPr>
      <w:b w:val="1"/>
      <w:sz w:val="28"/>
    </w:rPr>
  </w:style>
  <w:style w:styleId="Style_13_ch" w:type="character">
    <w:name w:val="heading 1"/>
    <w:basedOn w:val="Style_1_ch"/>
    <w:link w:val="Style_13"/>
    <w:rPr>
      <w:b w:val="1"/>
      <w:sz w:val="28"/>
    </w:rPr>
  </w:style>
  <w:style w:styleId="Style_14" w:type="paragraph">
    <w:name w:val="Hyperlink"/>
    <w:link w:val="Style_14_ch"/>
    <w:rPr>
      <w:color w:val="0000FF"/>
      <w:u w:val="single"/>
    </w:rPr>
  </w:style>
  <w:style w:styleId="Style_14_ch" w:type="character">
    <w:name w:val="Hyperlink"/>
    <w:link w:val="Style_14"/>
    <w:rPr>
      <w:color w:val="0000FF"/>
      <w:u w:val="single"/>
    </w:rPr>
  </w:style>
  <w:style w:styleId="Style_15" w:type="paragraph">
    <w:name w:val="Footnote"/>
    <w:link w:val="Style_15_ch"/>
    <w:pPr>
      <w:ind w:firstLine="851" w:left="0"/>
      <w:jc w:val="both"/>
    </w:pPr>
    <w:rPr>
      <w:rFonts w:ascii="XO Thames" w:hAnsi="XO Thames"/>
      <w:sz w:val="22"/>
    </w:rPr>
  </w:style>
  <w:style w:styleId="Style_15_ch" w:type="character">
    <w:name w:val="Footnote"/>
    <w:link w:val="Style_15"/>
    <w:rPr>
      <w:rFonts w:ascii="XO Thames" w:hAnsi="XO Thames"/>
      <w:sz w:val="22"/>
    </w:rPr>
  </w:style>
  <w:style w:styleId="Style_16" w:type="paragraph">
    <w:name w:val="toc 1"/>
    <w:next w:val="Style_1"/>
    <w:link w:val="Style_16_ch"/>
    <w:uiPriority w:val="39"/>
    <w:pPr>
      <w:ind w:firstLine="0" w:left="0"/>
      <w:jc w:val="left"/>
    </w:pPr>
    <w:rPr>
      <w:rFonts w:ascii="XO Thames" w:hAnsi="XO Thames"/>
      <w:b w:val="1"/>
      <w:sz w:val="28"/>
    </w:rPr>
  </w:style>
  <w:style w:styleId="Style_16_ch" w:type="character">
    <w:name w:val="toc 1"/>
    <w:link w:val="Style_16"/>
    <w:rPr>
      <w:rFonts w:ascii="XO Thames" w:hAnsi="XO Thames"/>
      <w:b w:val="1"/>
      <w:sz w:val="28"/>
    </w:rPr>
  </w:style>
  <w:style w:styleId="Style_17" w:type="paragraph">
    <w:name w:val="Header and Footer"/>
    <w:link w:val="Style_17_ch"/>
    <w:pPr>
      <w:spacing w:line="240" w:lineRule="auto"/>
      <w:ind/>
      <w:jc w:val="both"/>
    </w:pPr>
    <w:rPr>
      <w:rFonts w:ascii="XO Thames" w:hAnsi="XO Thames"/>
      <w:sz w:val="20"/>
    </w:rPr>
  </w:style>
  <w:style w:styleId="Style_17_ch" w:type="character">
    <w:name w:val="Header and Footer"/>
    <w:link w:val="Style_17"/>
    <w:rPr>
      <w:rFonts w:ascii="XO Thames" w:hAnsi="XO Thames"/>
      <w:sz w:val="20"/>
    </w:rPr>
  </w:style>
  <w:style w:styleId="Style_18" w:type="paragraph">
    <w:name w:val="Body Text Indent 3"/>
    <w:basedOn w:val="Style_1"/>
    <w:link w:val="Style_18_ch"/>
    <w:pPr>
      <w:spacing w:after="120"/>
      <w:ind w:firstLine="0" w:left="283"/>
    </w:pPr>
    <w:rPr>
      <w:sz w:val="16"/>
    </w:rPr>
  </w:style>
  <w:style w:styleId="Style_18_ch" w:type="character">
    <w:name w:val="Body Text Indent 3"/>
    <w:basedOn w:val="Style_1_ch"/>
    <w:link w:val="Style_18"/>
    <w:rPr>
      <w:sz w:val="16"/>
    </w:rPr>
  </w:style>
  <w:style w:styleId="Style_19" w:type="paragraph">
    <w:name w:val="Гипертекстовая ссылка"/>
    <w:link w:val="Style_19_ch"/>
    <w:rPr>
      <w:b w:val="1"/>
      <w:color w:val="008000"/>
      <w:sz w:val="20"/>
      <w:u w:val="single"/>
    </w:rPr>
  </w:style>
  <w:style w:styleId="Style_19_ch" w:type="character">
    <w:name w:val="Гипертекстовая ссылка"/>
    <w:link w:val="Style_19"/>
    <w:rPr>
      <w:b w:val="1"/>
      <w:color w:val="008000"/>
      <w:sz w:val="20"/>
      <w:u w:val="single"/>
    </w:rPr>
  </w:style>
  <w:style w:styleId="Style_20" w:type="paragraph">
    <w:name w:val="Body Text Indent 2"/>
    <w:basedOn w:val="Style_1"/>
    <w:link w:val="Style_20_ch"/>
    <w:pPr>
      <w:widowControl w:val="0"/>
      <w:spacing w:after="20" w:before="20"/>
      <w:ind w:firstLine="360" w:left="0" w:right="-8"/>
      <w:jc w:val="both"/>
    </w:pPr>
  </w:style>
  <w:style w:styleId="Style_20_ch" w:type="character">
    <w:name w:val="Body Text Indent 2"/>
    <w:basedOn w:val="Style_1_ch"/>
    <w:link w:val="Style_20"/>
  </w:style>
  <w:style w:styleId="Style_21" w:type="paragraph">
    <w:name w:val="toc 9"/>
    <w:next w:val="Style_1"/>
    <w:link w:val="Style_21_ch"/>
    <w:uiPriority w:val="39"/>
    <w:pPr>
      <w:ind w:firstLine="0" w:left="1600"/>
      <w:jc w:val="left"/>
    </w:pPr>
    <w:rPr>
      <w:rFonts w:ascii="XO Thames" w:hAnsi="XO Thames"/>
      <w:sz w:val="28"/>
    </w:rPr>
  </w:style>
  <w:style w:styleId="Style_21_ch" w:type="character">
    <w:name w:val="toc 9"/>
    <w:link w:val="Style_21"/>
    <w:rPr>
      <w:rFonts w:ascii="XO Thames" w:hAnsi="XO Thames"/>
      <w:sz w:val="28"/>
    </w:rPr>
  </w:style>
  <w:style w:styleId="Style_22" w:type="paragraph">
    <w:name w:val="toc 8"/>
    <w:next w:val="Style_1"/>
    <w:link w:val="Style_22_ch"/>
    <w:uiPriority w:val="39"/>
    <w:pPr>
      <w:ind w:firstLine="0" w:left="1400"/>
      <w:jc w:val="left"/>
    </w:pPr>
    <w:rPr>
      <w:rFonts w:ascii="XO Thames" w:hAnsi="XO Thames"/>
      <w:sz w:val="28"/>
    </w:rPr>
  </w:style>
  <w:style w:styleId="Style_22_ch" w:type="character">
    <w:name w:val="toc 8"/>
    <w:link w:val="Style_22"/>
    <w:rPr>
      <w:rFonts w:ascii="XO Thames" w:hAnsi="XO Thames"/>
      <w:sz w:val="28"/>
    </w:rPr>
  </w:style>
  <w:style w:styleId="Style_23" w:type="paragraph">
    <w:name w:val="Default Paragraph Font"/>
    <w:link w:val="Style_23_ch"/>
  </w:style>
  <w:style w:styleId="Style_23_ch" w:type="character">
    <w:name w:val="Default Paragraph Font"/>
    <w:link w:val="Style_23"/>
  </w:style>
  <w:style w:styleId="Style_24" w:type="paragraph">
    <w:name w:val="toc 5"/>
    <w:next w:val="Style_1"/>
    <w:link w:val="Style_24_ch"/>
    <w:uiPriority w:val="39"/>
    <w:pPr>
      <w:ind w:firstLine="0" w:left="800"/>
      <w:jc w:val="left"/>
    </w:pPr>
    <w:rPr>
      <w:rFonts w:ascii="XO Thames" w:hAnsi="XO Thames"/>
      <w:sz w:val="28"/>
    </w:rPr>
  </w:style>
  <w:style w:styleId="Style_24_ch" w:type="character">
    <w:name w:val="toc 5"/>
    <w:link w:val="Style_24"/>
    <w:rPr>
      <w:rFonts w:ascii="XO Thames" w:hAnsi="XO Thames"/>
      <w:sz w:val="28"/>
    </w:rPr>
  </w:style>
  <w:style w:styleId="Style_25" w:type="paragraph">
    <w:name w:val="Body Text 2"/>
    <w:basedOn w:val="Style_1"/>
    <w:link w:val="Style_25_ch"/>
    <w:pPr>
      <w:spacing w:after="120" w:line="480" w:lineRule="auto"/>
      <w:ind/>
    </w:pPr>
  </w:style>
  <w:style w:styleId="Style_25_ch" w:type="character">
    <w:name w:val="Body Text 2"/>
    <w:basedOn w:val="Style_1_ch"/>
    <w:link w:val="Style_25"/>
  </w:style>
  <w:style w:styleId="Style_26" w:type="paragraph">
    <w:name w:val="Subtitle"/>
    <w:basedOn w:val="Style_1"/>
    <w:next w:val="Style_1"/>
    <w:link w:val="Style_26_ch"/>
    <w:uiPriority w:val="11"/>
    <w:qFormat/>
    <w:pPr>
      <w:keepNext w:val="1"/>
      <w:keepLines w:val="1"/>
      <w:spacing w:after="80" w:before="360"/>
      <w:ind/>
    </w:pPr>
    <w:rPr>
      <w:rFonts w:ascii="Georgia" w:hAnsi="Georgia"/>
      <w:i w:val="1"/>
      <w:color w:val="666666"/>
      <w:sz w:val="48"/>
    </w:rPr>
  </w:style>
  <w:style w:styleId="Style_26_ch" w:type="character">
    <w:name w:val="Subtitle"/>
    <w:basedOn w:val="Style_1_ch"/>
    <w:link w:val="Style_26"/>
    <w:rPr>
      <w:rFonts w:ascii="Georgia" w:hAnsi="Georgia"/>
      <w:i w:val="1"/>
      <w:color w:val="666666"/>
      <w:sz w:val="48"/>
    </w:rPr>
  </w:style>
  <w:style w:styleId="Style_27" w:type="paragraph">
    <w:name w:val="Title"/>
    <w:basedOn w:val="Style_1"/>
    <w:next w:val="Style_1"/>
    <w:link w:val="Style_27_ch"/>
    <w:uiPriority w:val="10"/>
    <w:qFormat/>
    <w:pPr>
      <w:keepNext w:val="1"/>
      <w:keepLines w:val="1"/>
      <w:spacing w:after="120" w:before="480"/>
      <w:ind/>
    </w:pPr>
    <w:rPr>
      <w:b w:val="1"/>
      <w:sz w:val="72"/>
    </w:rPr>
  </w:style>
  <w:style w:styleId="Style_27_ch" w:type="character">
    <w:name w:val="Title"/>
    <w:basedOn w:val="Style_1_ch"/>
    <w:link w:val="Style_27"/>
    <w:rPr>
      <w:b w:val="1"/>
      <w:sz w:val="72"/>
    </w:rPr>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default="1" w:styleId="Style_37" w:type="table">
    <w:name w:val="Normal Table"/>
    <w:tblPr>
      <w:tblInd w:type="dxa" w:w="0"/>
      <w:tblCellMar>
        <w:top w:type="dxa" w:w="0"/>
        <w:left w:type="dxa" w:w="108"/>
        <w:bottom w:type="dxa" w:w="0"/>
        <w:right w:type="dxa" w:w="108"/>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2023-12-23T20:01:37Z</dcterms:modified>
</cp:coreProperties>
</file>